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F3" w:rsidRDefault="008E27F3" w:rsidP="008E27F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8E27F3" w:rsidRDefault="008E27F3" w:rsidP="008E27F3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>
        <w:rPr>
          <w:rFonts w:ascii="Sylfaen" w:hAnsi="Sylfaen"/>
          <w:lang w:val="ka-GE"/>
        </w:rPr>
        <w:t>ზუგდიდის რ-ნის სოფ. რუხში მშენებარე მრავალპროფილიანი საუნივერსიტეტო კლინიკისათვის საჭირო ხელოვნური იატაკის საფარის (ვინილი)</w:t>
      </w:r>
      <w:r w:rsidRPr="00DC667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თანმდევი მომსახურებით </w:t>
      </w:r>
      <w:r w:rsidRPr="00DC6672">
        <w:rPr>
          <w:rFonts w:ascii="Sylfaen" w:hAnsi="Sylfaen" w:cs="Sylfaen"/>
          <w:lang w:val="ka-GE"/>
        </w:rPr>
        <w:t>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8E27F3" w:rsidRPr="008E27F3" w:rsidRDefault="008E27F3" w:rsidP="008E27F3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შესყიდვით დაინტერესებულ ყველა პირს გთხოვთ, თქვენი წინადადებები წარმოგვიდგინოთ თანდართული ცხრილის მიხედვით, არაუგვიანეს 2018</w:t>
      </w:r>
      <w:r w:rsidRPr="000C0223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>28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ივნისის 18:30 საათისა 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8" w:history="1">
        <w:r w:rsidRPr="00BC21C9">
          <w:rPr>
            <w:rStyle w:val="Hyperlink"/>
            <w:rFonts w:ascii="Sylfaen" w:hAnsi="Sylfaen"/>
          </w:rPr>
          <w:t>m.bochorishvili@scc.ge</w:t>
        </w:r>
      </w:hyperlink>
      <w:r>
        <w:rPr>
          <w:rFonts w:ascii="Sylfaen" w:hAnsi="Sylfaen"/>
          <w:lang w:val="ka-GE"/>
        </w:rPr>
        <w:t xml:space="preserve">. საკონტაქტო პირი: მარიამ ბოჭორიშვილი, ტელ.: 595 313597. </w:t>
      </w:r>
      <w:r>
        <w:rPr>
          <w:rFonts w:ascii="Sylfaen" w:hAnsi="Sylfaen"/>
        </w:rPr>
        <w:t xml:space="preserve"> </w:t>
      </w:r>
    </w:p>
    <w:p w:rsidR="008E27F3" w:rsidRDefault="008E27F3" w:rsidP="008E27F3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lang w:val="ka-GE"/>
        </w:rPr>
      </w:pPr>
    </w:p>
    <w:p w:rsidR="00877E6E" w:rsidRPr="00877E6E" w:rsidRDefault="008E27F3" w:rsidP="00877E6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ც ხ რ ი ლ ი</w:t>
      </w:r>
    </w:p>
    <w:p w:rsidR="00CE66A9" w:rsidRPr="00877E6E" w:rsidRDefault="00877E6E" w:rsidP="00877E6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tbl>
      <w:tblPr>
        <w:tblStyle w:val="TableGrid"/>
        <w:tblW w:w="10731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417"/>
        <w:gridCol w:w="3263"/>
        <w:gridCol w:w="1558"/>
        <w:gridCol w:w="1275"/>
        <w:gridCol w:w="1539"/>
        <w:gridCol w:w="19"/>
        <w:gridCol w:w="12"/>
        <w:gridCol w:w="1263"/>
        <w:gridCol w:w="1385"/>
      </w:tblGrid>
      <w:tr w:rsidR="003E605E" w:rsidRPr="008960CE" w:rsidTr="00094C08">
        <w:tc>
          <w:tcPr>
            <w:tcW w:w="417" w:type="dxa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#</w:t>
            </w:r>
          </w:p>
        </w:tc>
        <w:tc>
          <w:tcPr>
            <w:tcW w:w="3263" w:type="dxa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შესყიდვის</w:t>
            </w:r>
            <w:proofErr w:type="spellEnd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ობიექტის</w:t>
            </w:r>
            <w:proofErr w:type="spellEnd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და</w:t>
            </w:r>
            <w:proofErr w:type="spellEnd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0CE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მახასიათებლები</w:t>
            </w:r>
            <w:proofErr w:type="spellEnd"/>
          </w:p>
        </w:tc>
        <w:tc>
          <w:tcPr>
            <w:tcW w:w="1558" w:type="dxa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რ</w:t>
            </w:r>
            <w:r w:rsidR="003E605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აოდენო</w:t>
            </w: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ბა</w:t>
            </w:r>
            <w:r w:rsidR="003E605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/განზომილება</w:t>
            </w:r>
          </w:p>
        </w:tc>
        <w:tc>
          <w:tcPr>
            <w:tcW w:w="1275" w:type="dxa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ერთეულის ფასი დღგ-ს ჩათვლით</w:t>
            </w:r>
          </w:p>
        </w:tc>
        <w:tc>
          <w:tcPr>
            <w:tcW w:w="1558" w:type="dxa"/>
            <w:gridSpan w:val="2"/>
          </w:tcPr>
          <w:p w:rsidR="008960CE" w:rsidRPr="008960CE" w:rsidRDefault="00F13B10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აერთო</w:t>
            </w: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 xml:space="preserve"> ფასი დღგ-ს ჩათვლით</w:t>
            </w:r>
          </w:p>
        </w:tc>
        <w:tc>
          <w:tcPr>
            <w:tcW w:w="1275" w:type="dxa"/>
            <w:gridSpan w:val="2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მიწოდების ვადა</w:t>
            </w:r>
          </w:p>
        </w:tc>
        <w:tc>
          <w:tcPr>
            <w:tcW w:w="1385" w:type="dxa"/>
          </w:tcPr>
          <w:p w:rsidR="008960CE" w:rsidRPr="008960CE" w:rsidRDefault="008960CE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8960CE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მიწოდების ადგილი</w:t>
            </w:r>
          </w:p>
        </w:tc>
      </w:tr>
      <w:tr w:rsidR="007620BB" w:rsidTr="00094C08">
        <w:tc>
          <w:tcPr>
            <w:tcW w:w="417" w:type="dxa"/>
          </w:tcPr>
          <w:p w:rsidR="007620BB" w:rsidRDefault="007620B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7620BB" w:rsidRDefault="007620B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7620BB" w:rsidRPr="009E2106" w:rsidRDefault="007620B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3263" w:type="dxa"/>
          </w:tcPr>
          <w:p w:rsidR="007620BB" w:rsidRPr="009645BD" w:rsidRDefault="00951C6F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ჰ</w:t>
            </w:r>
            <w:r w:rsidR="00C6159C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ეტეროგენული ვინილი</w:t>
            </w:r>
            <w:r w:rsidR="009645BD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 მიწოდება თანამდევ მომსახურებასთან</w:t>
            </w:r>
            <w:r w:rsidR="00772671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r w:rsidR="00772671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იატაკზე </w:t>
            </w:r>
            <w:r w:rsidR="00E749B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დაგების</w:t>
            </w:r>
            <w:r w:rsidR="004048C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, შესაბამისი რა</w:t>
            </w:r>
            <w:r w:rsidR="0035658A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ოდენობის თერმოშედუღების ზონრის</w:t>
            </w:r>
            <w:r w:rsidR="00772671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და დაგებაში გამოყენებული სამშენებლო ქიმიის</w:t>
            </w:r>
            <w:r w:rsidR="00E749B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ღირებულების ჩათვლით</w:t>
            </w:r>
            <w:r w:rsidR="00772671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) </w:t>
            </w:r>
            <w:r w:rsidR="009645BD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ერთად </w:t>
            </w:r>
          </w:p>
        </w:tc>
        <w:tc>
          <w:tcPr>
            <w:tcW w:w="1558" w:type="dxa"/>
          </w:tcPr>
          <w:p w:rsidR="007620BB" w:rsidRDefault="007620BB" w:rsidP="00620502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Default="007620BB" w:rsidP="00620502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Default="00E50664" w:rsidP="00620502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8682</w:t>
            </w:r>
            <w:r w:rsidR="007620BB">
              <w:rPr>
                <w:rFonts w:ascii="Sylfaen" w:hAnsi="Sylfaen" w:cs="Calibri"/>
                <w:sz w:val="20"/>
                <w:szCs w:val="20"/>
                <w:lang w:val="ka-GE"/>
              </w:rPr>
              <w:t>.0მ2</w:t>
            </w:r>
          </w:p>
          <w:p w:rsidR="007620BB" w:rsidRPr="006671E6" w:rsidRDefault="007620BB" w:rsidP="00620502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7620BB" w:rsidRDefault="007620B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7620BB" w:rsidRDefault="007620B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620BB" w:rsidRPr="000C206F" w:rsidRDefault="007620BB" w:rsidP="006205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85" w:type="dxa"/>
            <w:vMerge w:val="restart"/>
            <w:textDirection w:val="btLr"/>
          </w:tcPr>
          <w:p w:rsidR="007620BB" w:rsidRDefault="007620BB" w:rsidP="00620502">
            <w:pPr>
              <w:autoSpaceDE w:val="0"/>
              <w:autoSpaceDN w:val="0"/>
              <w:adjustRightInd w:val="0"/>
              <w:ind w:left="113" w:right="113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  <w:p w:rsidR="007620BB" w:rsidRPr="007620BB" w:rsidRDefault="007620BB" w:rsidP="00620502">
            <w:pPr>
              <w:ind w:left="113" w:right="113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Pr="007620BB" w:rsidRDefault="007620BB" w:rsidP="00620502">
            <w:pPr>
              <w:ind w:left="113" w:right="113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Pr="007620BB" w:rsidRDefault="009645BD" w:rsidP="00620502">
            <w:pPr>
              <w:ind w:left="113" w:right="113"/>
              <w:jc w:val="center"/>
              <w:rPr>
                <w:rFonts w:ascii="Sylfaen" w:hAnsi="Sylfaen" w:cs="Calibr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ზუგდიდის </w:t>
            </w:r>
            <w:r w:rsidR="00C20FC9">
              <w:rPr>
                <w:rFonts w:ascii="Sylfaen" w:hAnsi="Sylfaen" w:cs="Calibri"/>
                <w:b/>
                <w:sz w:val="24"/>
                <w:szCs w:val="24"/>
                <w:lang w:val="ka-GE"/>
              </w:rPr>
              <w:t>რაიონი</w:t>
            </w:r>
            <w:r>
              <w:rPr>
                <w:rFonts w:ascii="Sylfaen" w:hAnsi="Sylfaen" w:cs="Calibri"/>
                <w:b/>
                <w:sz w:val="24"/>
                <w:szCs w:val="24"/>
                <w:lang w:val="ka-GE"/>
              </w:rPr>
              <w:t xml:space="preserve">, სოფელი რუხი </w:t>
            </w:r>
          </w:p>
          <w:p w:rsidR="007620BB" w:rsidRDefault="007620BB" w:rsidP="00620502">
            <w:pPr>
              <w:ind w:left="113" w:right="113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Default="007620BB" w:rsidP="00620502">
            <w:pPr>
              <w:ind w:left="113" w:right="113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7620BB" w:rsidRPr="007620BB" w:rsidRDefault="007620BB" w:rsidP="00620502">
            <w:pPr>
              <w:ind w:left="113" w:right="113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E749BE" w:rsidRPr="009E2106" w:rsidTr="00094C08">
        <w:tc>
          <w:tcPr>
            <w:tcW w:w="417" w:type="dxa"/>
          </w:tcPr>
          <w:p w:rsidR="00E749BE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749BE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749BE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3263" w:type="dxa"/>
          </w:tcPr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ჰეტეროგენული ვინილის მიწოდება თანამდევ მომსახურებასთან (იატაკიდან კედელზე 10სმ სიმაღლეზე აყვანის,  შიდა და გარე კუთხეების გამოყვანის და დაგებაში გამოყენებული სამშენებლო ქიმიის ღირებულების ჩათვლით) ერთად </w:t>
            </w:r>
          </w:p>
        </w:tc>
        <w:tc>
          <w:tcPr>
            <w:tcW w:w="1558" w:type="dxa"/>
          </w:tcPr>
          <w:p w:rsidR="00E749BE" w:rsidRDefault="00E749BE" w:rsidP="00620502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E749BE" w:rsidRDefault="00E749BE" w:rsidP="00620502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E749BE" w:rsidRDefault="00E50664" w:rsidP="00620502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800</w:t>
            </w:r>
            <w:r w:rsidR="00E749BE">
              <w:rPr>
                <w:rFonts w:ascii="Sylfaen" w:hAnsi="Sylfaen" w:cs="Calibri"/>
                <w:sz w:val="20"/>
                <w:szCs w:val="20"/>
                <w:lang w:val="ka-GE"/>
              </w:rPr>
              <w:t>.0მ2</w:t>
            </w:r>
          </w:p>
          <w:p w:rsidR="00E749BE" w:rsidRPr="006671E6" w:rsidRDefault="00E749BE" w:rsidP="00620502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749BE" w:rsidRPr="009E2106" w:rsidRDefault="00E749B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4048C4" w:rsidRPr="009E2106" w:rsidTr="00094C08">
        <w:tc>
          <w:tcPr>
            <w:tcW w:w="417" w:type="dxa"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35658A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3263" w:type="dxa"/>
          </w:tcPr>
          <w:p w:rsidR="004048C4" w:rsidRPr="009645BD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ელექტრო გამტარი ვინილის მიწოდება თანამდევ მომსახურებასთან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იატაკზე დაგების, შესაბამისი რაოდენობის სპილენძის ლენტის და თერმოშედუღების ზონრის,  დაგებაში გამოყენებული სამშენებლო ქიმიის ღირებულების ჩათვლით) ერთად </w:t>
            </w:r>
          </w:p>
        </w:tc>
        <w:tc>
          <w:tcPr>
            <w:tcW w:w="1558" w:type="dxa"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1D2F0B" w:rsidRDefault="00E50664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2305</w:t>
            </w:r>
            <w:r w:rsidR="001D2F0B" w:rsidRPr="001D2F0B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.0მ2</w:t>
            </w:r>
          </w:p>
          <w:p w:rsidR="004048C4" w:rsidRPr="004048C4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4048C4" w:rsidRPr="009E2106" w:rsidRDefault="004048C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E50664" w:rsidRPr="009E2106" w:rsidTr="00094C08">
        <w:tc>
          <w:tcPr>
            <w:tcW w:w="417" w:type="dxa"/>
          </w:tcPr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3263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ელექტრო გამტარი ვინილის მიწოდება თანამდევ მომსახურებასთან (იატაკიდან კედელზე 10სმ სიმაღლეზე აყვანის,  შიდა და გარე კუთხეების გამოყვანის და დაგებაში გამოყენებული სამშენებლო ქიმიის ღირებულების ჩათვლით) ერთად </w:t>
            </w:r>
          </w:p>
        </w:tc>
        <w:tc>
          <w:tcPr>
            <w:tcW w:w="1558" w:type="dxa"/>
          </w:tcPr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E5066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134</w:t>
            </w:r>
            <w:r w:rsidRPr="00E50664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.0მ2</w:t>
            </w:r>
          </w:p>
        </w:tc>
        <w:tc>
          <w:tcPr>
            <w:tcW w:w="1275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E50664" w:rsidRPr="009E2106" w:rsidTr="00094C08">
        <w:tc>
          <w:tcPr>
            <w:tcW w:w="417" w:type="dxa"/>
          </w:tcPr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3263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კედლის ვინილის მიწოდება თანამდევ მომსახურებასთან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კედელზე გაკვრის, შესაბამისი რაოდენობის თერმოშედუღების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lastRenderedPageBreak/>
              <w:t>ზონრის და გაკვრაში გამოყენებული სამშენებლო ქიმიის ღირებულების ჩათვლით) ერთად</w:t>
            </w:r>
          </w:p>
        </w:tc>
        <w:tc>
          <w:tcPr>
            <w:tcW w:w="1558" w:type="dxa"/>
          </w:tcPr>
          <w:p w:rsidR="00E50664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lastRenderedPageBreak/>
              <w:t xml:space="preserve">    </w:t>
            </w:r>
          </w:p>
          <w:p w:rsidR="00E50664" w:rsidRDefault="00E50664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  <w:p w:rsidR="00E50664" w:rsidRPr="001D2F0B" w:rsidRDefault="00665D2C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   2737</w:t>
            </w:r>
            <w:r w:rsidR="00E50664" w:rsidRPr="001D2F0B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.0მ2</w:t>
            </w:r>
          </w:p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9B2B9B" w:rsidRPr="009E2106" w:rsidTr="00094C08">
        <w:tc>
          <w:tcPr>
            <w:tcW w:w="417" w:type="dxa"/>
          </w:tcPr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3263" w:type="dxa"/>
          </w:tcPr>
          <w:p w:rsidR="009B2B9B" w:rsidRP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25მმ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X25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მმ ე.წ. „ფაბიონის პლინტუსის“ მიწოდება თანამდევ მომსახურებასთან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(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პერიმეტრზე გაკვრის, გაკვრაში გამოყენებული სამშენებლო ქიმიის ღირებულების ჩათვლით) ერთად   </w:t>
            </w:r>
          </w:p>
        </w:tc>
        <w:tc>
          <w:tcPr>
            <w:tcW w:w="1558" w:type="dxa"/>
          </w:tcPr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9B2B9B" w:rsidRPr="0042795E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 9350.0გ/მეტრი</w:t>
            </w:r>
          </w:p>
        </w:tc>
        <w:tc>
          <w:tcPr>
            <w:tcW w:w="1275" w:type="dxa"/>
          </w:tcPr>
          <w:p w:rsidR="009B2B9B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9B2B9B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9B2B9B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9B2B9B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E50664" w:rsidRPr="009E2106" w:rsidTr="00094C08">
        <w:tc>
          <w:tcPr>
            <w:tcW w:w="417" w:type="dxa"/>
          </w:tcPr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9B2B9B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263" w:type="dxa"/>
          </w:tcPr>
          <w:p w:rsidR="00E50664" w:rsidRPr="009E2106" w:rsidRDefault="009B2B9B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კედელზე ასული იატაკის და კედლის ვინილის შემაერთებელი პლინტუსის მიწოდება თანამდევ მომსახურებასთან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(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კედელზე გაკვრის, გაკვრაში გამოყენებული სამშენებლო ქიმიის ღირებულების ჩათვლით) ერთად  </w:t>
            </w:r>
            <w:r w:rsidR="00E50664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558" w:type="dxa"/>
          </w:tcPr>
          <w:p w:rsidR="00E50664" w:rsidRPr="0042795E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  <w:p w:rsidR="0042795E" w:rsidRPr="0042795E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   </w:t>
            </w:r>
          </w:p>
          <w:p w:rsidR="00E50664" w:rsidRPr="0042795E" w:rsidRDefault="00665D2C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1339</w:t>
            </w:r>
            <w:r w:rsidR="00E50664"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.0 </w:t>
            </w:r>
            <w:r w:rsid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 </w:t>
            </w:r>
            <w:r w:rsidR="0042795E"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გ/</w:t>
            </w:r>
            <w:r w:rsidR="00E50664"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მეტრი </w:t>
            </w:r>
          </w:p>
        </w:tc>
        <w:tc>
          <w:tcPr>
            <w:tcW w:w="1275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E50664" w:rsidRPr="009E2106" w:rsidTr="00094C08">
        <w:tc>
          <w:tcPr>
            <w:tcW w:w="417" w:type="dxa"/>
          </w:tcPr>
          <w:p w:rsidR="0042795E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9E2106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263" w:type="dxa"/>
          </w:tcPr>
          <w:p w:rsidR="00E50664" w:rsidRPr="009E2106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კედელზე ასული იატაკის კიდის დამაბოლოვებელი  პლინტუსის მიწოდება თანამდევ მომსახურებასთან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(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კედელზე გაკვრის, გაკვრაში გამოყენებული სამშენებლო ქიმიის ღირებულების ჩათვლით) ერთად   </w:t>
            </w:r>
          </w:p>
        </w:tc>
        <w:tc>
          <w:tcPr>
            <w:tcW w:w="1558" w:type="dxa"/>
          </w:tcPr>
          <w:p w:rsidR="00E50664" w:rsidRPr="0042795E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="00665D2C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8011</w:t>
            </w:r>
            <w:r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.0</w:t>
            </w:r>
            <w:r w:rsidR="0042795E"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გ/</w:t>
            </w:r>
            <w:r w:rsidRPr="0042795E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მეტრი</w:t>
            </w:r>
          </w:p>
        </w:tc>
        <w:tc>
          <w:tcPr>
            <w:tcW w:w="1275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E50664" w:rsidRPr="009E2106" w:rsidTr="00094C08">
        <w:tc>
          <w:tcPr>
            <w:tcW w:w="417" w:type="dxa"/>
          </w:tcPr>
          <w:p w:rsidR="00212F19" w:rsidRDefault="00212F19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212F19" w:rsidRDefault="00212F19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E50664" w:rsidRPr="009E2106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3263" w:type="dxa"/>
          </w:tcPr>
          <w:p w:rsidR="00E50664" w:rsidRPr="009E2106" w:rsidRDefault="0042795E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სამუშაოების შესრულებასთან დაკავშირებ</w:t>
            </w:r>
            <w:r w:rsidR="00F50A2B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ული სხვა ხარჯები (სამშენებლო ქიმიის, მასალების ტრანსპორტირების, ღამისთევის, სამივლინებო და ა.შ.)</w:t>
            </w:r>
          </w:p>
        </w:tc>
        <w:tc>
          <w:tcPr>
            <w:tcW w:w="1558" w:type="dxa"/>
          </w:tcPr>
          <w:p w:rsidR="00E50664" w:rsidRDefault="00E50664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F50A2B" w:rsidRDefault="00F50A2B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F50A2B" w:rsidRPr="009E2106" w:rsidRDefault="00F50A2B" w:rsidP="00620502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1.0</w:t>
            </w:r>
          </w:p>
        </w:tc>
        <w:tc>
          <w:tcPr>
            <w:tcW w:w="1275" w:type="dxa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8" w:type="dxa"/>
            <w:gridSpan w:val="2"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gridSpan w:val="2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85" w:type="dxa"/>
            <w:vMerge/>
          </w:tcPr>
          <w:p w:rsidR="00E50664" w:rsidRPr="009E2106" w:rsidRDefault="00E50664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</w:tr>
      <w:tr w:rsidR="000311F0" w:rsidTr="00094C08">
        <w:tblPrEx>
          <w:tblLook w:val="0000" w:firstRow="0" w:lastRow="0" w:firstColumn="0" w:lastColumn="0" w:noHBand="0" w:noVBand="0"/>
        </w:tblPrEx>
        <w:trPr>
          <w:gridAfter w:val="2"/>
          <w:wAfter w:w="2648" w:type="dxa"/>
          <w:trHeight w:val="15"/>
        </w:trPr>
        <w:tc>
          <w:tcPr>
            <w:tcW w:w="6513" w:type="dxa"/>
            <w:gridSpan w:val="4"/>
          </w:tcPr>
          <w:p w:rsidR="000311F0" w:rsidRPr="000311F0" w:rsidRDefault="000311F0">
            <w:pPr>
              <w:rPr>
                <w:rFonts w:ascii="Sylfaen" w:hAnsi="Sylfaen" w:cs="Calibri"/>
                <w:b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i/>
                <w:color w:val="000000"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       </w:t>
            </w:r>
            <w:r w:rsidRPr="000311F0">
              <w:rPr>
                <w:rFonts w:ascii="Sylfaen" w:hAnsi="Sylfaen" w:cs="Calibri"/>
                <w:b/>
                <w:i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570" w:type="dxa"/>
            <w:gridSpan w:val="3"/>
          </w:tcPr>
          <w:p w:rsidR="000311F0" w:rsidRPr="000311F0" w:rsidRDefault="000311F0" w:rsidP="000311F0">
            <w:pPr>
              <w:rPr>
                <w:rFonts w:ascii="Sylfaen" w:hAnsi="Sylfaen" w:cs="Calibri"/>
                <w:b/>
                <w:i/>
                <w:color w:val="000000"/>
                <w:sz w:val="20"/>
                <w:szCs w:val="20"/>
                <w:lang w:val="ka-GE"/>
              </w:rPr>
            </w:pPr>
          </w:p>
        </w:tc>
      </w:tr>
      <w:tr w:rsidR="00620502" w:rsidTr="00094C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417" w:type="dxa"/>
          <w:wAfter w:w="2679" w:type="dxa"/>
          <w:trHeight w:val="100"/>
        </w:trPr>
        <w:tc>
          <w:tcPr>
            <w:tcW w:w="7635" w:type="dxa"/>
            <w:gridSpan w:val="4"/>
            <w:tcBorders>
              <w:top w:val="single" w:sz="4" w:space="0" w:color="auto"/>
            </w:tcBorders>
          </w:tcPr>
          <w:p w:rsidR="00620502" w:rsidRDefault="00620502" w:rsidP="00620502">
            <w:pPr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46644">
        <w:rPr>
          <w:rFonts w:ascii="Sylfaen" w:hAnsi="Sylfaen"/>
          <w:sz w:val="20"/>
          <w:szCs w:val="20"/>
          <w:lang w:val="ka-GE"/>
        </w:rPr>
        <w:t>კომ</w:t>
      </w:r>
      <w:r>
        <w:rPr>
          <w:rFonts w:ascii="Sylfaen" w:hAnsi="Sylfaen"/>
          <w:sz w:val="20"/>
          <w:szCs w:val="20"/>
          <w:lang w:val="ka-GE"/>
        </w:rPr>
        <w:t>პანიის დასახელება:</w:t>
      </w:r>
    </w:p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ხელმძღვანელი:                                                                                    ხელმოწერა:</w:t>
      </w:r>
    </w:p>
    <w:p w:rsid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94C08" w:rsidRPr="00094C08" w:rsidRDefault="00094C08" w:rsidP="00094C0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ბ.ა.</w:t>
      </w:r>
    </w:p>
    <w:p w:rsidR="00094C08" w:rsidRDefault="00094C08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1D2F0B" w:rsidRDefault="001D2F0B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094C08" w:rsidRDefault="00094C08" w:rsidP="001D2F0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color w:val="FF0000"/>
          <w:sz w:val="20"/>
          <w:szCs w:val="20"/>
          <w:lang w:val="ka-GE"/>
        </w:rPr>
      </w:pPr>
    </w:p>
    <w:p w:rsidR="001D2F0B" w:rsidRPr="00EB3C47" w:rsidRDefault="001D2F0B" w:rsidP="001D2F0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შენიშვნა</w:t>
      </w:r>
      <w:r w:rsidR="00212F19" w:rsidRPr="00EB3C47">
        <w:rPr>
          <w:rFonts w:ascii="Sylfaen" w:hAnsi="Sylfaen" w:cs="Calibri"/>
          <w:sz w:val="20"/>
          <w:szCs w:val="20"/>
          <w:lang w:val="ka-GE"/>
        </w:rPr>
        <w:t xml:space="preserve"> 1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: ცხრილში მოცემული ვინილის და აქსესუარების რაოდენობები არის საპროექტო რაოდენობები. აქედან გამომდინარე, </w:t>
      </w:r>
      <w:r w:rsidR="00B61583" w:rsidRPr="00EB3C47">
        <w:rPr>
          <w:rFonts w:ascii="Sylfaen" w:hAnsi="Sylfaen" w:cs="Calibri"/>
          <w:sz w:val="20"/>
          <w:szCs w:val="20"/>
          <w:lang w:val="ka-GE"/>
        </w:rPr>
        <w:t>მომწოდებელმა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უნდა გაითვალისწინოს დაგების პროცესში ვინილის და აქსესაურების ტექნოლოგიური დანაკარგები, ასევე მინიმალური შეფუთვიდან გამომდინარე დანაკარგები და აღნიშნულის გათვალისწინებით მიუთითოს ამ პოზიციებზე ერთეულის ღ-ბა.  </w:t>
      </w:r>
    </w:p>
    <w:p w:rsidR="00212F19" w:rsidRPr="00EB3C47" w:rsidRDefault="00212F19" w:rsidP="001D2F0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  <w:lang w:val="ka-GE"/>
        </w:rPr>
      </w:pPr>
    </w:p>
    <w:p w:rsidR="00212F19" w:rsidRPr="00EB3C47" w:rsidRDefault="00212F19" w:rsidP="00212F1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 xml:space="preserve">შენიშვნა 2: ფასების ცხრილის პირველი და მესამე პოზიციით გათვალისწინებულ ფართზე (ჯამში 10987.0მ2), თვითსწორებადი მასა უნდა დაისხას საშუალოდ 5მმ სისქეზე.   </w:t>
      </w:r>
    </w:p>
    <w:p w:rsidR="00665D2C" w:rsidRPr="00EB3C47" w:rsidRDefault="00665D2C" w:rsidP="00212F1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665D2C" w:rsidRPr="00EB3C47" w:rsidRDefault="00665D2C" w:rsidP="00212F1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 xml:space="preserve">შენიშვნა 3: ვინილის ფერების შერჩევა მოხდება შემსყიდველის მიერ ხელშეკრულების გაფორმებიდან 5 (ხუთი) კალენდარული დღის განმავლობაში. </w:t>
      </w:r>
    </w:p>
    <w:p w:rsidR="00212F19" w:rsidRPr="00EB3C47" w:rsidRDefault="00212F19" w:rsidP="001D2F0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  <w:lang w:val="ka-GE"/>
        </w:rPr>
      </w:pPr>
    </w:p>
    <w:p w:rsidR="00476F98" w:rsidRPr="00EB3C47" w:rsidRDefault="00476F98" w:rsidP="001D2F0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შემოთავაზებულ საფარზე უნდა ვრცელდებოდეს საგარანტიო ვადა არანაკლებ 3 (სამი) წლის ვადით;</w:t>
      </w:r>
    </w:p>
    <w:p w:rsidR="001D2F0B" w:rsidRPr="00EB3C47" w:rsidRDefault="001D2F0B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bookmarkStart w:id="0" w:name="_GoBack"/>
      <w:bookmarkEnd w:id="0"/>
    </w:p>
    <w:p w:rsidR="009645BD" w:rsidRPr="00EB3C47" w:rsidRDefault="00445171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 w:rsidRPr="00EB3C47">
        <w:rPr>
          <w:rFonts w:ascii="Sylfaen" w:hAnsi="Sylfaen" w:cs="Calibri"/>
          <w:b/>
          <w:sz w:val="20"/>
          <w:szCs w:val="20"/>
          <w:lang w:val="ka-GE"/>
        </w:rPr>
        <w:lastRenderedPageBreak/>
        <w:t>მოთხოვნები ვინილის საფარის მიმართ:</w:t>
      </w:r>
    </w:p>
    <w:p w:rsidR="00445171" w:rsidRPr="00EB3C47" w:rsidRDefault="00445171" w:rsidP="00445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ვინილის საფარი და მისი შესაბამისი თერმოშედუღების ზონრები დამზადებული უნდა იყოს</w:t>
      </w:r>
      <w:r w:rsidR="00EF590F" w:rsidRPr="00EB3C47">
        <w:rPr>
          <w:rFonts w:ascii="Sylfaen" w:hAnsi="Sylfaen" w:cs="Calibri"/>
          <w:sz w:val="20"/>
          <w:szCs w:val="20"/>
          <w:lang w:val="ka-GE"/>
        </w:rPr>
        <w:t xml:space="preserve"> - 1) </w:t>
      </w:r>
      <w:r w:rsidRPr="00EB3C47">
        <w:rPr>
          <w:rFonts w:ascii="Sylfaen" w:hAnsi="Sylfaen" w:cs="Calibri"/>
          <w:sz w:val="20"/>
          <w:szCs w:val="20"/>
          <w:lang w:val="ka-GE"/>
        </w:rPr>
        <w:t>იმ ქვეყანაში, რომელიც შედის  საქართველოს მთავრობის 2013 წლის 7 მარტის #50 დადგენილებით განსაზღვრული ქვეყნების ნუსხაში</w:t>
      </w:r>
      <w:r w:rsidR="00EF590F" w:rsidRPr="00EB3C47">
        <w:rPr>
          <w:rFonts w:ascii="Sylfaen" w:hAnsi="Sylfaen" w:cs="Calibri"/>
          <w:sz w:val="20"/>
          <w:szCs w:val="20"/>
          <w:lang w:val="ka-GE"/>
        </w:rPr>
        <w:t xml:space="preserve"> ან 2) ამ პროდუქციაზე უნდა იყოს წარმოდგენილი ამ ნუსხაში მითითებული ქვეყნების კომპეტენტური უწყების მიერ გაცემული შესაბამისობის დამადასტურებელი სერთიფიკატი(დოკუმენტი);    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</w:t>
      </w:r>
    </w:p>
    <w:p w:rsidR="00445171" w:rsidRPr="00EB3C47" w:rsidRDefault="00445171" w:rsidP="00445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ვინილის საფარის და მისი შესაბამისი თერმოშედუღების ზონრის მწარმოებელი უნდა იყოს ერთიდაიგივე კომპანია;</w:t>
      </w:r>
    </w:p>
    <w:p w:rsidR="009645BD" w:rsidRPr="00EB3C47" w:rsidRDefault="009645BD" w:rsidP="00445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ჰეტეროგენული ვინილის მახასიათებლები: მინიმუმ 2.0მმ სისქის, დამცავი ზედა ფენა მინიმუმ 0.7მმ( ISO 24340),  რულონებში (რულონის სიგრძე არანაკლებ 20მეტრისა, სიგანე 2 მეტრი), ცვეთის კლასი 34/43 (ISO 10582), მოცურების ჯგუფი  - R9 (DIN51130), ცვეთამედეგობის ჯგუფი ზედაპირის ცვეთის მიხედვით - “T”(EN660-2)</w:t>
      </w:r>
      <w:r w:rsidR="0042795E" w:rsidRPr="00EB3C47">
        <w:rPr>
          <w:rFonts w:ascii="Sylfaen" w:hAnsi="Sylfaen" w:cs="Calibri"/>
          <w:sz w:val="20"/>
          <w:szCs w:val="20"/>
          <w:lang w:val="ka-GE"/>
        </w:rPr>
        <w:t>,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>ქიმიური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მდგრადობა მინიმუმ -  კარგი (ISO26787), ცეცხლმედეგობის კლასი არანაკლებ Bfl-S1 (EN 13501-1)</w:t>
      </w:r>
    </w:p>
    <w:p w:rsidR="009645BD" w:rsidRPr="00EB3C47" w:rsidRDefault="004048C4" w:rsidP="00445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ელექტროგამტარი ვინილის მახასიათებლები: მინიმუმ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 2.0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მმ სისქის,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ჰომოგენური, </w:t>
      </w:r>
      <w:r w:rsidRPr="00EB3C47">
        <w:rPr>
          <w:rFonts w:ascii="Sylfaen" w:hAnsi="Sylfaen" w:cs="Calibri"/>
          <w:sz w:val="20"/>
          <w:szCs w:val="20"/>
          <w:lang w:val="ka-GE"/>
        </w:rPr>
        <w:t>პოლიურეთანის დამცავი ზედა ფენით,  რულონებში</w:t>
      </w:r>
      <w:r w:rsidR="001D2F0B" w:rsidRPr="00EB3C47">
        <w:rPr>
          <w:rFonts w:ascii="Sylfaen" w:hAnsi="Sylfaen" w:cs="Calibri"/>
          <w:sz w:val="20"/>
          <w:szCs w:val="20"/>
          <w:lang w:val="ka-GE"/>
        </w:rPr>
        <w:t>(რულონის სიგრძე არანაკლებ 20მეტრისა, სიგანე 2 მეტრი)</w:t>
      </w:r>
      <w:r w:rsidRPr="00EB3C47">
        <w:rPr>
          <w:rFonts w:ascii="Sylfaen" w:hAnsi="Sylfaen" w:cs="Calibri"/>
          <w:sz w:val="20"/>
          <w:szCs w:val="20"/>
          <w:lang w:val="ka-GE"/>
        </w:rPr>
        <w:t>, ცვეთის კლასი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 -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34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 Very Heavy (commercial </w:t>
      </w:r>
      <w:r w:rsidR="001D2F0B" w:rsidRPr="00EB3C47">
        <w:rPr>
          <w:rFonts w:ascii="Sylfaen" w:hAnsi="Sylfaen" w:cs="Calibri"/>
          <w:sz w:val="20"/>
          <w:szCs w:val="20"/>
          <w:lang w:val="ka-GE"/>
        </w:rPr>
        <w:t>classification ISO 10874)</w:t>
      </w:r>
      <w:r w:rsidRPr="00EB3C47">
        <w:rPr>
          <w:rFonts w:ascii="Sylfaen" w:hAnsi="Sylfaen" w:cs="Calibri"/>
          <w:sz w:val="20"/>
          <w:szCs w:val="20"/>
          <w:lang w:val="ka-GE"/>
        </w:rPr>
        <w:t>, მოცურების ჯგუფი</w:t>
      </w:r>
      <w:r w:rsidR="001D2F0B" w:rsidRPr="00EB3C47">
        <w:rPr>
          <w:rFonts w:ascii="Sylfaen" w:hAnsi="Sylfaen" w:cs="Calibri"/>
          <w:sz w:val="20"/>
          <w:szCs w:val="20"/>
          <w:lang w:val="ka-GE"/>
        </w:rPr>
        <w:t xml:space="preserve"> - R9 (DIN51130)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,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>ელექტრული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წინაღობა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 R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</w:t>
      </w:r>
      <w:r w:rsidR="0035658A" w:rsidRPr="00EB3C47">
        <w:rPr>
          <w:rFonts w:ascii="Calibri" w:hAnsi="Calibri" w:cs="Calibri"/>
          <w:sz w:val="20"/>
          <w:szCs w:val="20"/>
          <w:lang w:val="ka-GE"/>
        </w:rPr>
        <w:t>&lt;</w:t>
      </w:r>
      <w:r w:rsidRPr="00EB3C47">
        <w:rPr>
          <w:sz w:val="20"/>
          <w:szCs w:val="20"/>
          <w:lang w:val="ka-GE"/>
        </w:rPr>
        <w:t xml:space="preserve"> 10</w:t>
      </w:r>
      <w:r w:rsidRPr="00EB3C47">
        <w:rPr>
          <w:rFonts w:cstheme="minorHAnsi"/>
          <w:sz w:val="20"/>
          <w:szCs w:val="20"/>
          <w:lang w:val="ka-GE"/>
        </w:rPr>
        <w:t>⁶</w:t>
      </w:r>
      <w:r w:rsidRPr="00EB3C47">
        <w:rPr>
          <w:sz w:val="20"/>
          <w:szCs w:val="20"/>
          <w:lang w:val="ka-GE"/>
        </w:rPr>
        <w:t xml:space="preserve"> Ohm</w:t>
      </w:r>
      <w:r w:rsidR="0035658A" w:rsidRPr="00EB3C47">
        <w:rPr>
          <w:rFonts w:ascii="Sylfaen" w:hAnsi="Sylfaen"/>
          <w:sz w:val="20"/>
          <w:szCs w:val="20"/>
          <w:lang w:val="ka-GE"/>
        </w:rPr>
        <w:t>s</w:t>
      </w:r>
      <w:r w:rsidR="001D2F0B" w:rsidRPr="00EB3C47">
        <w:rPr>
          <w:sz w:val="20"/>
          <w:szCs w:val="20"/>
          <w:lang w:val="ka-GE"/>
        </w:rPr>
        <w:t>(EN1081)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,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>ქიმიური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>მდგ</w:t>
      </w:r>
      <w:r w:rsidRPr="00EB3C47">
        <w:rPr>
          <w:rFonts w:ascii="Sylfaen" w:hAnsi="Sylfaen" w:cs="Calibri"/>
          <w:sz w:val="20"/>
          <w:szCs w:val="20"/>
          <w:lang w:val="ka-GE"/>
        </w:rPr>
        <w:t>რ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>ა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დობა - </w:t>
      </w:r>
      <w:r w:rsidR="0035658A" w:rsidRPr="00EB3C47">
        <w:rPr>
          <w:rFonts w:ascii="Sylfaen" w:hAnsi="Sylfaen" w:cs="Calibri"/>
          <w:sz w:val="20"/>
          <w:szCs w:val="20"/>
          <w:lang w:val="ka-GE"/>
        </w:rPr>
        <w:t xml:space="preserve">ძალიან 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კარგი (EN423/EN ISO26987). </w:t>
      </w:r>
    </w:p>
    <w:p w:rsidR="00E50664" w:rsidRPr="00EB3C47" w:rsidRDefault="00E50664" w:rsidP="00445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 xml:space="preserve">კედლის ვინილის მახასიათებლები: მინიმუმ </w:t>
      </w:r>
      <w:r w:rsidR="00C245FE" w:rsidRPr="00EB3C47">
        <w:rPr>
          <w:rFonts w:ascii="Sylfaen" w:hAnsi="Sylfaen" w:cs="Calibri"/>
          <w:sz w:val="20"/>
          <w:szCs w:val="20"/>
          <w:lang w:val="ka-GE"/>
        </w:rPr>
        <w:t>1.2</w:t>
      </w:r>
      <w:r w:rsidRPr="00EB3C47">
        <w:rPr>
          <w:rFonts w:ascii="Sylfaen" w:hAnsi="Sylfaen" w:cs="Calibri"/>
          <w:sz w:val="20"/>
          <w:szCs w:val="20"/>
          <w:lang w:val="ka-GE"/>
        </w:rPr>
        <w:t>მმ სისქის, დამცავი ზედა ფენა მინიმუმ</w:t>
      </w:r>
      <w:r w:rsidR="00C245FE" w:rsidRPr="00EB3C47">
        <w:rPr>
          <w:rFonts w:ascii="Sylfaen" w:hAnsi="Sylfaen" w:cs="Calibri"/>
          <w:sz w:val="20"/>
          <w:szCs w:val="20"/>
          <w:lang w:val="ka-GE"/>
        </w:rPr>
        <w:t xml:space="preserve"> 0.5</w:t>
      </w:r>
      <w:r w:rsidRPr="00EB3C47">
        <w:rPr>
          <w:rFonts w:ascii="Sylfaen" w:hAnsi="Sylfaen" w:cs="Calibri"/>
          <w:sz w:val="20"/>
          <w:szCs w:val="20"/>
          <w:lang w:val="ka-GE"/>
        </w:rPr>
        <w:t>მმ( ISO 24340),  რულონებში (რულონის სიგრძე არანაკლებ 20მეტრისა, სიგანე 2 მეტრი), ცვეთამედეგობის ჯგუფი ზედაპირის ცვეთის მიხედვით - “T”(EN660-2)</w:t>
      </w:r>
      <w:r w:rsidR="009B2B9B" w:rsidRPr="00EB3C47">
        <w:rPr>
          <w:rFonts w:ascii="Sylfaen" w:hAnsi="Sylfaen" w:cs="Calibri"/>
          <w:sz w:val="20"/>
          <w:szCs w:val="20"/>
          <w:lang w:val="ka-GE"/>
        </w:rPr>
        <w:t>,</w:t>
      </w:r>
      <w:r w:rsidR="0042795E" w:rsidRPr="00EB3C47">
        <w:rPr>
          <w:rFonts w:ascii="Sylfaen" w:hAnsi="Sylfaen" w:cs="Calibri"/>
          <w:sz w:val="20"/>
          <w:szCs w:val="20"/>
          <w:lang w:val="ka-GE"/>
        </w:rPr>
        <w:t xml:space="preserve"> ქიმიუური მდგრადობის დადასტურება ISO26787 -ის მიხედვით, 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ცეცხლმედეგობის კლასი არანაკლებ </w:t>
      </w:r>
      <w:r w:rsidR="009B2B9B" w:rsidRPr="00EB3C47">
        <w:rPr>
          <w:lang w:val="ka-GE"/>
        </w:rPr>
        <w:t>B-s2,d0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(EN 13501-1)</w:t>
      </w:r>
    </w:p>
    <w:p w:rsidR="009645BD" w:rsidRPr="00EB3C47" w:rsidRDefault="009645BD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9645BD" w:rsidRPr="00EB3C47" w:rsidRDefault="009645BD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9645BD" w:rsidRPr="00EB3C47" w:rsidRDefault="009645BD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56436" w:rsidRPr="00EB3C47" w:rsidRDefault="00B61583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მომწოდებელმა</w:t>
      </w:r>
      <w:r w:rsidR="00C56436" w:rsidRPr="00EB3C47">
        <w:rPr>
          <w:rFonts w:ascii="Sylfaen" w:hAnsi="Sylfaen" w:cs="Calibri"/>
          <w:sz w:val="20"/>
          <w:szCs w:val="20"/>
          <w:lang w:val="ka-GE"/>
        </w:rPr>
        <w:t xml:space="preserve"> სამუშაოები უნდა განახორციელოს </w:t>
      </w:r>
      <w:r w:rsidR="00C56436" w:rsidRPr="00EB3C47">
        <w:rPr>
          <w:rFonts w:ascii="Sylfaen" w:hAnsi="Sylfaen" w:cs="Calibri"/>
          <w:sz w:val="20"/>
          <w:szCs w:val="20"/>
        </w:rPr>
        <w:t xml:space="preserve">DIN 18353 </w:t>
      </w:r>
      <w:r w:rsidR="00C56436" w:rsidRPr="00EB3C47">
        <w:rPr>
          <w:rFonts w:ascii="Sylfaen" w:hAnsi="Sylfaen" w:cs="Calibri"/>
          <w:sz w:val="20"/>
          <w:szCs w:val="20"/>
          <w:lang w:val="ka-GE"/>
        </w:rPr>
        <w:t>სტანდარტის ძირითადი მოთხოვნების დაცვით, კერძოდ:</w:t>
      </w:r>
    </w:p>
    <w:p w:rsidR="00C56436" w:rsidRPr="00EB3C47" w:rsidRDefault="00C56436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</w:p>
    <w:p w:rsidR="00C56436" w:rsidRPr="00EB3C47" w:rsidRDefault="00C56436" w:rsidP="00C56436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 w:rsidRPr="00EB3C47">
        <w:rPr>
          <w:rFonts w:ascii="Sylfaen" w:hAnsi="Sylfaen" w:cs="Calibri"/>
          <w:b/>
          <w:sz w:val="20"/>
          <w:szCs w:val="20"/>
          <w:lang w:val="ka-GE"/>
        </w:rPr>
        <w:t>მოთხოვნები საფუძვლის მიმართ (ქვიშა-ცემენტის მოჭიმული იატაკი):</w:t>
      </w:r>
    </w:p>
    <w:p w:rsidR="00C56436" w:rsidRPr="00EB3C47" w:rsidRDefault="00C56436" w:rsidP="00C56436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>თვითსწორებადი მასის დასხმამდე, ქვიშა-ცემენტის მოჭიმული იატაკი (ე.წ. „სტიაჟკა“) უნდა აკმაყოფილებდეს შემდეგ პირობებს:</w:t>
      </w:r>
    </w:p>
    <w:p w:rsidR="00C56436" w:rsidRPr="00EB3C47" w:rsidRDefault="00C56436" w:rsidP="00C56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 xml:space="preserve">ნარჩენი ტენიანობა არ უნდა იყოს 2%-ზე მეტი </w:t>
      </w:r>
      <w:r w:rsidRPr="00EB3C47">
        <w:rPr>
          <w:rFonts w:ascii="Sylfaen" w:hAnsi="Sylfaen" w:cs="Calibri"/>
          <w:sz w:val="20"/>
          <w:szCs w:val="20"/>
        </w:rPr>
        <w:t>CCM</w:t>
      </w:r>
      <w:r w:rsidRPr="00EB3C47">
        <w:rPr>
          <w:rFonts w:ascii="Sylfaen" w:hAnsi="Sylfaen" w:cs="Calibri"/>
          <w:sz w:val="20"/>
          <w:szCs w:val="20"/>
          <w:lang w:val="ka-GE"/>
        </w:rPr>
        <w:t xml:space="preserve"> მეთოდით გაზომვისას;</w:t>
      </w:r>
      <w:r w:rsidRPr="00EB3C47">
        <w:rPr>
          <w:rFonts w:ascii="Sylfaen" w:hAnsi="Sylfaen" w:cs="Calibri"/>
          <w:sz w:val="20"/>
          <w:szCs w:val="20"/>
        </w:rPr>
        <w:t xml:space="preserve"> </w:t>
      </w:r>
    </w:p>
    <w:p w:rsidR="00C56436" w:rsidRDefault="00C56436" w:rsidP="00C56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 w:rsidRPr="00EB3C47">
        <w:rPr>
          <w:rFonts w:ascii="Sylfaen" w:hAnsi="Sylfaen" w:cs="Calibri"/>
          <w:sz w:val="20"/>
          <w:szCs w:val="20"/>
          <w:lang w:val="ka-GE"/>
        </w:rPr>
        <w:t xml:space="preserve">მოჭიმული იატაკის სიმტკიცე არ უნდა იყოს 15 მეგაპასკალზე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ნაკლები;</w:t>
      </w:r>
    </w:p>
    <w:p w:rsidR="00C56436" w:rsidRDefault="00C56436" w:rsidP="00C56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მსხვილი (სიღრმისეული) ბზარები დამუშავებულ უნდა იყოს ორკომპონენტიანი </w:t>
      </w:r>
      <w:r w:rsidR="00FB41C6">
        <w:rPr>
          <w:rFonts w:ascii="Sylfaen" w:hAnsi="Sylfaen" w:cs="Calibri"/>
          <w:color w:val="000000"/>
          <w:sz w:val="20"/>
          <w:szCs w:val="20"/>
          <w:lang w:val="ka-GE"/>
        </w:rPr>
        <w:t>ბზარების დასამუშავებელი ფისით, ამ ფისის მწარმოებელი კომპანიის მიერ განსაზღვრული ტექნოლოგიის მიხედვით;</w:t>
      </w:r>
    </w:p>
    <w:p w:rsidR="00FB41C6" w:rsidRDefault="00FB41C6" w:rsidP="00C56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საშუალო და ზედაპირული ბზარები დამუშავებულ უნდა იყოს სპეციალური სარემონტო ფითხებით, ამ ფითხის მწარმოებელი კომპანიის მიერ განსაზღვრული ტექნოლოგიის მიხედვით;</w:t>
      </w:r>
    </w:p>
    <w:p w:rsidR="00FB41C6" w:rsidRDefault="00FB41C6" w:rsidP="00C564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აუცილებლად გამოყენებული უნდა იყოს შესაბამისი გრუნტი (დისპერსიული ან ეპოქსიდური) ამ გრუნტის მწარმოებელი კომპანიის მიერ განსაზღვრული ტექნოლოგიის მიხედვით.</w:t>
      </w:r>
    </w:p>
    <w:p w:rsidR="00FB41C6" w:rsidRDefault="00FB41C6" w:rsidP="00FB41C6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FB41C6" w:rsidRDefault="00FB41C6" w:rsidP="00FB41C6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212F19" w:rsidRPr="00EB3C47" w:rsidRDefault="00460ABE" w:rsidP="00212F1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color w:val="000000"/>
          <w:sz w:val="20"/>
          <w:szCs w:val="20"/>
          <w:lang w:val="ka-GE"/>
        </w:rPr>
      </w:pPr>
      <w:r>
        <w:rPr>
          <w:rFonts w:ascii="Sylfaen" w:hAnsi="Sylfaen" w:cs="Calibri"/>
          <w:b/>
          <w:color w:val="000000"/>
          <w:sz w:val="20"/>
          <w:szCs w:val="20"/>
          <w:lang w:val="ka-GE"/>
        </w:rPr>
        <w:t>მოთხოვნები სამშენებლო ქიმიის ძირითადი კომპონენტების</w:t>
      </w:r>
      <w:r w:rsidR="00212F19">
        <w:rPr>
          <w:rFonts w:ascii="Sylfaen" w:hAnsi="Sylfaen" w:cs="Calibri"/>
          <w:b/>
          <w:color w:val="000000"/>
          <w:sz w:val="20"/>
          <w:szCs w:val="20"/>
          <w:lang w:val="ka-GE"/>
        </w:rPr>
        <w:t xml:space="preserve"> და აქსესუარების</w:t>
      </w:r>
      <w:r>
        <w:rPr>
          <w:rFonts w:ascii="Sylfaen" w:hAnsi="Sylfaen" w:cs="Calibri"/>
          <w:b/>
          <w:color w:val="000000"/>
          <w:sz w:val="20"/>
          <w:szCs w:val="20"/>
          <w:lang w:val="ka-GE"/>
        </w:rPr>
        <w:t xml:space="preserve"> მიმართ: </w:t>
      </w:r>
    </w:p>
    <w:p w:rsidR="00212F19" w:rsidRDefault="00212F19" w:rsidP="0021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სამშენებლო ქიმია (სხვადასხვა ტიპის გრუნტები, ბზარების დასამუშავებელი ფისები და ფითხები, სარემონტო მასები, თვითსწორებადი მასა, წებოები, პროფილები, სპილენძის ლენტი) დამზადებული უნდა იყოს იმ ქვეყანაში, რომელიც შედის  საქართველოს მთავრობის 2013 წლის 7 მარტის #50 დადგენილებით განსაზღვრული ქვეყნების ნუსხაში; </w:t>
      </w:r>
    </w:p>
    <w:p w:rsidR="00212F19" w:rsidRDefault="00212F19" w:rsidP="0021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 w:rsidRPr="00212F19">
        <w:rPr>
          <w:rFonts w:ascii="Sylfaen" w:hAnsi="Sylfaen" w:cs="Calibri"/>
          <w:color w:val="000000"/>
          <w:sz w:val="20"/>
          <w:szCs w:val="20"/>
          <w:lang w:val="ka-GE"/>
        </w:rPr>
        <w:t>თვითსწორებადი მასა</w:t>
      </w:r>
      <w:r w:rsidR="005E2C2B">
        <w:rPr>
          <w:rFonts w:ascii="Sylfaen" w:hAnsi="Sylfaen" w:cs="Calibri"/>
          <w:color w:val="000000"/>
          <w:sz w:val="20"/>
          <w:szCs w:val="20"/>
          <w:lang w:val="ka-GE"/>
        </w:rPr>
        <w:t>“</w:t>
      </w:r>
      <w:r w:rsidRPr="00212F19">
        <w:rPr>
          <w:rFonts w:ascii="Sylfaen" w:hAnsi="Sylfaen" w:cs="Calibri"/>
          <w:color w:val="000000"/>
          <w:sz w:val="20"/>
          <w:szCs w:val="20"/>
          <w:lang w:val="ka-GE"/>
        </w:rPr>
        <w:t xml:space="preserve"> უნდა იყოს ცემენტის საფუძველზე, სიმტკიცე ზეწოლაზე არანაკლებ C25, სიმტკიცე დრეკადობაზე არანაკლებ C5. სახანძრო უსაფრთხოების კლასი არანაკლებ </w:t>
      </w:r>
      <w:r w:rsidR="00476F98">
        <w:rPr>
          <w:rFonts w:ascii="Sylfaen" w:hAnsi="Sylfaen" w:cs="Calibri"/>
          <w:color w:val="000000"/>
          <w:sz w:val="20"/>
          <w:szCs w:val="20"/>
          <w:lang w:val="ka-GE"/>
        </w:rPr>
        <w:t>„</w:t>
      </w:r>
      <w:r w:rsidRPr="00212F19">
        <w:rPr>
          <w:rFonts w:ascii="Sylfaen" w:hAnsi="Sylfaen" w:cs="Calibri"/>
          <w:color w:val="000000"/>
          <w:sz w:val="20"/>
          <w:szCs w:val="20"/>
          <w:lang w:val="ka-GE"/>
        </w:rPr>
        <w:t>A1fl</w:t>
      </w:r>
      <w:r w:rsidR="00476F98">
        <w:rPr>
          <w:rFonts w:ascii="Sylfaen" w:hAnsi="Sylfaen" w:cs="Calibri"/>
          <w:color w:val="000000"/>
          <w:sz w:val="20"/>
          <w:szCs w:val="20"/>
          <w:lang w:val="ka-GE"/>
        </w:rPr>
        <w:t>“</w:t>
      </w:r>
      <w:r w:rsidRPr="00212F19">
        <w:rPr>
          <w:rFonts w:ascii="Sylfaen" w:hAnsi="Sylfaen" w:cs="Calibri"/>
          <w:color w:val="000000"/>
          <w:sz w:val="20"/>
          <w:szCs w:val="20"/>
          <w:lang w:val="ka-GE"/>
        </w:rPr>
        <w:t xml:space="preserve"> DIN EN 13501 -ის მიხედვით;</w:t>
      </w:r>
    </w:p>
    <w:p w:rsidR="005E2C2B" w:rsidRPr="005E2C2B" w:rsidRDefault="005E2C2B" w:rsidP="0021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lastRenderedPageBreak/>
        <w:t xml:space="preserve">წებო ელექტროგამტარი ვინილისთვის: წინაღობა </w:t>
      </w:r>
      <w:r>
        <w:rPr>
          <w:rFonts w:ascii="Calibri" w:hAnsi="Calibri" w:cs="Calibri"/>
          <w:color w:val="000000"/>
          <w:sz w:val="20"/>
          <w:szCs w:val="20"/>
          <w:lang w:val="ka-GE"/>
        </w:rPr>
        <w:t>&lt;</w:t>
      </w:r>
      <w:r>
        <w:rPr>
          <w:rFonts w:ascii="Times New Roman" w:hAnsi="Times New Roman" w:cs="Times New Roman"/>
          <w:color w:val="000000"/>
          <w:sz w:val="20"/>
          <w:szCs w:val="20"/>
        </w:rPr>
        <w:t>3x105Ω DIN EN 12529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-ის მიხედვით, უნდა ქონდეს უსაფრთხოების პასპორტი 1907/2006/</w:t>
      </w:r>
      <w:r>
        <w:rPr>
          <w:rFonts w:ascii="Sylfaen" w:hAnsi="Sylfaen" w:cs="Times New Roman"/>
          <w:color w:val="000000"/>
          <w:sz w:val="20"/>
          <w:szCs w:val="20"/>
        </w:rPr>
        <w:t>EC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-ის მოთხოვნათა შესაბამისად;</w:t>
      </w:r>
    </w:p>
    <w:p w:rsidR="005E2C2B" w:rsidRPr="005E2C2B" w:rsidRDefault="005E2C2B" w:rsidP="005E2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Times New Roman"/>
          <w:color w:val="000000"/>
          <w:sz w:val="20"/>
          <w:szCs w:val="20"/>
          <w:lang w:val="ka-GE"/>
        </w:rPr>
        <w:t>წებო ჰეტეროგენული ვინილისთვის: უნდა იყოს გამხსნელის გარეშე, წყლის საფუძველზე. უნდა ქონდეს უსაფრთხოების პასპორტი 1907/2006/</w:t>
      </w:r>
      <w:r>
        <w:rPr>
          <w:rFonts w:ascii="Sylfaen" w:hAnsi="Sylfaen" w:cs="Times New Roman"/>
          <w:color w:val="000000"/>
          <w:sz w:val="20"/>
          <w:szCs w:val="20"/>
        </w:rPr>
        <w:t>EC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-ის მოთხოვნათა შესაბამისად;</w:t>
      </w:r>
    </w:p>
    <w:p w:rsidR="005E2C2B" w:rsidRPr="005E2C2B" w:rsidRDefault="005E2C2B" w:rsidP="005E2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კონტაქტური წებო: უნდა იყოს გამხსნელის გარეშე, წყლის საფუძველზე. 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უნდა ქონდეს უსაფრთხოების პასპორტი 1907/2006/</w:t>
      </w:r>
      <w:r>
        <w:rPr>
          <w:rFonts w:ascii="Sylfaen" w:hAnsi="Sylfaen" w:cs="Times New Roman"/>
          <w:color w:val="000000"/>
          <w:sz w:val="20"/>
          <w:szCs w:val="20"/>
        </w:rPr>
        <w:t>EC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-ის მოთხოვნათა შესაბამისად;</w:t>
      </w:r>
    </w:p>
    <w:p w:rsidR="005E2C2B" w:rsidRPr="005E2C2B" w:rsidRDefault="005E2C2B" w:rsidP="005E2C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ორკომპონენტიანი სილიკატური ფისი სიღრმისეული ბზარების შეკეთებისთვის. 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უნდა ქონდეს უსაფრთხოების პასპორტი 1907/2006/</w:t>
      </w:r>
      <w:r>
        <w:rPr>
          <w:rFonts w:ascii="Sylfaen" w:hAnsi="Sylfaen" w:cs="Times New Roman"/>
          <w:color w:val="000000"/>
          <w:sz w:val="20"/>
          <w:szCs w:val="20"/>
        </w:rPr>
        <w:t>EC</w:t>
      </w:r>
      <w:r>
        <w:rPr>
          <w:rFonts w:ascii="Sylfaen" w:hAnsi="Sylfaen" w:cs="Times New Roman"/>
          <w:color w:val="000000"/>
          <w:sz w:val="20"/>
          <w:szCs w:val="20"/>
          <w:lang w:val="ka-GE"/>
        </w:rPr>
        <w:t>-ის მოთხოვნათა შესაბამისად;</w:t>
      </w:r>
    </w:p>
    <w:p w:rsidR="00212F19" w:rsidRPr="00445171" w:rsidRDefault="00212F19" w:rsidP="00445171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212F19" w:rsidRPr="00460ABE" w:rsidRDefault="00212F19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color w:val="000000"/>
          <w:sz w:val="20"/>
          <w:szCs w:val="20"/>
          <w:lang w:val="ka-GE"/>
        </w:rPr>
      </w:pPr>
    </w:p>
    <w:p w:rsidR="00445171" w:rsidRPr="00EB3C47" w:rsidRDefault="00445171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color w:val="000000"/>
          <w:sz w:val="20"/>
          <w:szCs w:val="20"/>
          <w:lang w:val="ka-GE"/>
        </w:rPr>
      </w:pPr>
      <w:r w:rsidRPr="00445171">
        <w:rPr>
          <w:rFonts w:ascii="Sylfaen" w:hAnsi="Sylfaen" w:cs="Calibri"/>
          <w:b/>
          <w:color w:val="000000"/>
          <w:sz w:val="20"/>
          <w:szCs w:val="20"/>
          <w:lang w:val="ka-GE"/>
        </w:rPr>
        <w:t xml:space="preserve">მოთხოვნები სამუშაოების მიმართ: </w:t>
      </w:r>
    </w:p>
    <w:p w:rsidR="00EA3CEF" w:rsidRDefault="00EA3CEF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ა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ღნიშნულმა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სამუშაოებმა უნდა მოიცვას:</w:t>
      </w:r>
    </w:p>
    <w:p w:rsidR="00EA3CEF" w:rsidRDefault="00EA3CEF" w:rsidP="00EA3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იატაკის მომზადების სამუშაობი, 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 xml:space="preserve">კერძოდ,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თითოეული სამშენებლო ქიმიის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 xml:space="preserve"> და აქსესუარების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ტექნიკურ სპეციფიკაციებში აღწერილი ტექნოლოგიური 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პირობების და ვადების დაცვით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შემდეგი 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სამუშაოების განხორციელებას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:</w:t>
      </w:r>
    </w:p>
    <w:p w:rsidR="00EA3CEF" w:rsidRDefault="00EA3CEF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არსებული ცემენტო-ქვიშის მოჭიმული იატაკის მოხეხვას სპეციალური დანადგარის და დისკების გამოყენებით;</w:t>
      </w:r>
    </w:p>
    <w:p w:rsidR="00EA3CEF" w:rsidRDefault="00EA3CEF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სამრეწველო მტვერსასტრუტით მოხეხვის შედეგად დარჩენილი სამშენებლო მტვრის აღებას;</w:t>
      </w:r>
    </w:p>
    <w:p w:rsidR="00EA3CEF" w:rsidRDefault="00EA3CEF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მსხვილი, საშუალო და წვრილი ბზარების დამუშავებას ეპოქსიდური მასით და სპეციალური ცემენტის ფითხით დამუშავებას (ამოვსებას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)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;</w:t>
      </w:r>
    </w:p>
    <w:p w:rsidR="004B14CB" w:rsidRDefault="00EA3CEF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გრუნტის 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წასმა;</w:t>
      </w:r>
    </w:p>
    <w:p w:rsidR="004B14CB" w:rsidRDefault="004B14CB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თვითსწორებადი მასის დასხმა (საშუალოდ</w:t>
      </w:r>
      <w:r w:rsidR="00445171">
        <w:rPr>
          <w:rFonts w:ascii="Sylfaen" w:hAnsi="Sylfaen" w:cs="Calibri"/>
          <w:color w:val="000000"/>
          <w:sz w:val="20"/>
          <w:szCs w:val="20"/>
          <w:lang w:val="ka-GE"/>
        </w:rPr>
        <w:t xml:space="preserve"> 5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მმ სისქეზე);</w:t>
      </w:r>
    </w:p>
    <w:p w:rsidR="004B14CB" w:rsidRDefault="004B14CB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გამშრალი თვითსწორებადი იატაკის მოხეხვა სპეციალური დანადგარის და აბრაზიული დისკის მეშვეობით, მტვრის აღება სამრეწველო მტვერსასრუტით;</w:t>
      </w:r>
    </w:p>
    <w:p w:rsidR="004B14CB" w:rsidRDefault="00445171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ე.წ. „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>ფაბიონის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პლინტუსის“</w:t>
      </w:r>
      <w:r w:rsidR="004B14CB">
        <w:rPr>
          <w:rFonts w:ascii="Sylfaen" w:hAnsi="Sylfaen" w:cs="Calibri"/>
          <w:color w:val="000000"/>
          <w:sz w:val="20"/>
          <w:szCs w:val="20"/>
          <w:lang w:val="ka-GE"/>
        </w:rPr>
        <w:t xml:space="preserve"> დაწებება კონტაქტური წებოთი ვინილის პერიმეტრზე;</w:t>
      </w:r>
    </w:p>
    <w:p w:rsidR="00445171" w:rsidRDefault="00445171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შემაერთებელი და კიდის დამაბოლოვებელი პლინტუსების გაკვრა კედელზე მხოლოდ კონტაქტური წებოთი:</w:t>
      </w:r>
    </w:p>
    <w:p w:rsidR="004B14CB" w:rsidRDefault="004B14CB" w:rsidP="00EA3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სპილენძის ლენტების კონტურის მოწყობას ელექტროგამტარი ვინილის დაგებისთვის განკუთვნილ იატაკზე და დამიწების კვანძთან შეერთება.</w:t>
      </w:r>
    </w:p>
    <w:p w:rsidR="00EA3CEF" w:rsidRPr="004B14CB" w:rsidRDefault="004B14CB" w:rsidP="004B14CB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       </w:t>
      </w:r>
      <w:r w:rsidR="00EA3CEF" w:rsidRPr="004B14CB">
        <w:rPr>
          <w:rFonts w:ascii="Sylfaen" w:hAnsi="Sylfaen" w:cs="Calibri"/>
          <w:color w:val="000000"/>
          <w:sz w:val="20"/>
          <w:szCs w:val="20"/>
          <w:lang w:val="ka-GE"/>
        </w:rPr>
        <w:t xml:space="preserve">  </w:t>
      </w:r>
    </w:p>
    <w:p w:rsidR="00CE66A9" w:rsidRDefault="004B14CB" w:rsidP="004B14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ვინილის დაგების</w:t>
      </w:r>
      <w:r w:rsidR="00DB0358">
        <w:rPr>
          <w:rFonts w:ascii="Sylfaen" w:hAnsi="Sylfaen" w:cs="Calibri"/>
          <w:color w:val="000000"/>
          <w:sz w:val="20"/>
          <w:szCs w:val="20"/>
          <w:lang w:val="ka-GE"/>
        </w:rPr>
        <w:t xml:space="preserve"> და კედელზე გაკვრის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სამუშაოები, კერძოდ, კონკრეტული ვინილის ტიპისთვის</w:t>
      </w:r>
      <w:r w:rsidR="007620BB">
        <w:rPr>
          <w:rFonts w:ascii="Sylfaen" w:hAnsi="Sylfaen" w:cs="Calibri"/>
          <w:color w:val="000000"/>
          <w:sz w:val="20"/>
          <w:szCs w:val="20"/>
          <w:lang w:val="ka-GE"/>
        </w:rPr>
        <w:t xml:space="preserve"> განსაზღვრული დაგების</w:t>
      </w:r>
      <w:r w:rsidR="008D52BB">
        <w:rPr>
          <w:rFonts w:ascii="Sylfaen" w:hAnsi="Sylfaen" w:cs="Calibri"/>
          <w:color w:val="000000"/>
          <w:sz w:val="20"/>
          <w:szCs w:val="20"/>
          <w:lang w:val="ka-GE"/>
        </w:rPr>
        <w:t xml:space="preserve"> ან გაკვრის</w:t>
      </w:r>
      <w:r w:rsidR="007620BB">
        <w:rPr>
          <w:rFonts w:ascii="Sylfaen" w:hAnsi="Sylfaen" w:cs="Calibri"/>
          <w:color w:val="000000"/>
          <w:sz w:val="20"/>
          <w:szCs w:val="20"/>
          <w:lang w:val="ka-GE"/>
        </w:rPr>
        <w:t xml:space="preserve"> წესების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და სამშენებლო ქიმიის ტექნიკურ სპეციფიკაციებში აღწერილი ტექნოლოგიური პირობების და ვადების დაცვით შემდეგი სამუშაოების განხორციელებას:</w:t>
      </w:r>
    </w:p>
    <w:p w:rsidR="004B14CB" w:rsidRDefault="004B14CB" w:rsidP="004B1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ვინილის საფარის</w:t>
      </w:r>
      <w:r w:rsidR="00DB0358">
        <w:rPr>
          <w:rFonts w:ascii="Sylfaen" w:hAnsi="Sylfaen" w:cs="Calibri"/>
          <w:color w:val="000000"/>
          <w:sz w:val="20"/>
          <w:szCs w:val="20"/>
          <w:lang w:val="ka-GE"/>
        </w:rPr>
        <w:t xml:space="preserve"> (როგორც იატაკის ასევე კედლის)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 დაჭრა, დაწებება და </w:t>
      </w:r>
      <w:r w:rsidR="007620BB">
        <w:rPr>
          <w:rFonts w:ascii="Sylfaen" w:hAnsi="Sylfaen" w:cs="Calibri"/>
          <w:color w:val="000000"/>
          <w:sz w:val="20"/>
          <w:szCs w:val="20"/>
          <w:lang w:val="ka-GE"/>
        </w:rPr>
        <w:t>თერმოზონრით კიდეების გადაბმა(</w:t>
      </w:r>
      <w:r w:rsidR="00DB0358">
        <w:rPr>
          <w:rFonts w:ascii="Sylfaen" w:hAnsi="Sylfaen" w:cs="Calibri"/>
          <w:color w:val="000000"/>
          <w:sz w:val="20"/>
          <w:szCs w:val="20"/>
          <w:lang w:val="ka-GE"/>
        </w:rPr>
        <w:t>თერმო</w:t>
      </w:r>
      <w:r w:rsidR="007620BB">
        <w:rPr>
          <w:rFonts w:ascii="Sylfaen" w:hAnsi="Sylfaen" w:cs="Calibri"/>
          <w:color w:val="000000"/>
          <w:sz w:val="20"/>
          <w:szCs w:val="20"/>
          <w:lang w:val="ka-GE"/>
        </w:rPr>
        <w:t>დადუღება);</w:t>
      </w:r>
    </w:p>
    <w:p w:rsidR="007620BB" w:rsidRDefault="007620BB" w:rsidP="004B1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>იატაკიდან 10სმ სიმაღლეზე ვინილის კედელზე აყვანა (ფაბიონის მეშვეობით)</w:t>
      </w:r>
      <w:r w:rsidR="00445171">
        <w:rPr>
          <w:rFonts w:ascii="Sylfaen" w:hAnsi="Sylfaen" w:cs="Calibri"/>
          <w:color w:val="000000"/>
          <w:sz w:val="20"/>
          <w:szCs w:val="20"/>
          <w:lang w:val="ka-GE"/>
        </w:rPr>
        <w:t xml:space="preserve"> და კედელზე აყვანილი ვინილის კონტაქტური წებოთი დაწებება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;</w:t>
      </w:r>
    </w:p>
    <w:p w:rsidR="00CE66A9" w:rsidRPr="00094C08" w:rsidRDefault="007620BB" w:rsidP="00031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სამუშაოების დასრულების შემდეგ იატაკის საფარის შესაბამისი წმენდის სითხეებით დამუშავება. </w:t>
      </w:r>
    </w:p>
    <w:p w:rsidR="00CE66A9" w:rsidRDefault="00CE66A9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CE66A9" w:rsidRDefault="00CE66A9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0C206F" w:rsidRDefault="000C206F" w:rsidP="000C206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</w:p>
    <w:p w:rsidR="00CE66A9" w:rsidRPr="000C206F" w:rsidRDefault="00CE66A9" w:rsidP="000C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A9" w:rsidRDefault="00CE66A9" w:rsidP="00031CAC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  <w:sz w:val="20"/>
          <w:szCs w:val="20"/>
          <w:lang w:val="ka-GE"/>
        </w:rPr>
      </w:pPr>
    </w:p>
    <w:p w:rsidR="00427B58" w:rsidRDefault="00427B58" w:rsidP="0042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58" w:rsidRDefault="00427B58" w:rsidP="0042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E7" w:rsidRDefault="001157E7" w:rsidP="00CA5712">
      <w:pPr>
        <w:spacing w:after="0" w:line="240" w:lineRule="auto"/>
      </w:pPr>
      <w:r>
        <w:separator/>
      </w:r>
    </w:p>
  </w:endnote>
  <w:endnote w:type="continuationSeparator" w:id="0">
    <w:p w:rsidR="001157E7" w:rsidRDefault="001157E7" w:rsidP="00C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12" w:rsidRDefault="00CA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58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712" w:rsidRDefault="00CA5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1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712" w:rsidRDefault="00CA5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12" w:rsidRDefault="00CA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E7" w:rsidRDefault="001157E7" w:rsidP="00CA5712">
      <w:pPr>
        <w:spacing w:after="0" w:line="240" w:lineRule="auto"/>
      </w:pPr>
      <w:r>
        <w:separator/>
      </w:r>
    </w:p>
  </w:footnote>
  <w:footnote w:type="continuationSeparator" w:id="0">
    <w:p w:rsidR="001157E7" w:rsidRDefault="001157E7" w:rsidP="00CA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12" w:rsidRDefault="00CA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12" w:rsidRDefault="00CA5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12" w:rsidRDefault="00CA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19A6"/>
    <w:multiLevelType w:val="hybridMultilevel"/>
    <w:tmpl w:val="78D05D44"/>
    <w:lvl w:ilvl="0" w:tplc="C7AE073A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1522D"/>
    <w:multiLevelType w:val="hybridMultilevel"/>
    <w:tmpl w:val="AC2CA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096"/>
    <w:multiLevelType w:val="hybridMultilevel"/>
    <w:tmpl w:val="49C8F774"/>
    <w:lvl w:ilvl="0" w:tplc="99E45C3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733E"/>
    <w:multiLevelType w:val="hybridMultilevel"/>
    <w:tmpl w:val="A93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734C"/>
    <w:multiLevelType w:val="hybridMultilevel"/>
    <w:tmpl w:val="719E45D6"/>
    <w:lvl w:ilvl="0" w:tplc="27A431A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0"/>
    <w:rsid w:val="000311F0"/>
    <w:rsid w:val="00031CAC"/>
    <w:rsid w:val="00084491"/>
    <w:rsid w:val="00094C08"/>
    <w:rsid w:val="000C206F"/>
    <w:rsid w:val="000E1BB8"/>
    <w:rsid w:val="000E2207"/>
    <w:rsid w:val="001157E7"/>
    <w:rsid w:val="001B3C9F"/>
    <w:rsid w:val="001D2F0B"/>
    <w:rsid w:val="00212F19"/>
    <w:rsid w:val="00213E5A"/>
    <w:rsid w:val="002334ED"/>
    <w:rsid w:val="0035658A"/>
    <w:rsid w:val="00386148"/>
    <w:rsid w:val="003C13AE"/>
    <w:rsid w:val="003D7A53"/>
    <w:rsid w:val="003E605E"/>
    <w:rsid w:val="004048C4"/>
    <w:rsid w:val="0042795E"/>
    <w:rsid w:val="00427B58"/>
    <w:rsid w:val="00445171"/>
    <w:rsid w:val="00460ABE"/>
    <w:rsid w:val="00476F98"/>
    <w:rsid w:val="004B14CB"/>
    <w:rsid w:val="00512D3F"/>
    <w:rsid w:val="0056699B"/>
    <w:rsid w:val="005A7317"/>
    <w:rsid w:val="005E2C2B"/>
    <w:rsid w:val="00620502"/>
    <w:rsid w:val="00665D2C"/>
    <w:rsid w:val="006671E6"/>
    <w:rsid w:val="00700132"/>
    <w:rsid w:val="007620BB"/>
    <w:rsid w:val="00772206"/>
    <w:rsid w:val="00772671"/>
    <w:rsid w:val="00777C4C"/>
    <w:rsid w:val="00877E6E"/>
    <w:rsid w:val="008960CE"/>
    <w:rsid w:val="008D52BB"/>
    <w:rsid w:val="008E27F3"/>
    <w:rsid w:val="0090498C"/>
    <w:rsid w:val="00951C6F"/>
    <w:rsid w:val="009645BD"/>
    <w:rsid w:val="009A584B"/>
    <w:rsid w:val="009B2B9B"/>
    <w:rsid w:val="009E2106"/>
    <w:rsid w:val="009E3DAD"/>
    <w:rsid w:val="00A41907"/>
    <w:rsid w:val="00A57391"/>
    <w:rsid w:val="00B148C8"/>
    <w:rsid w:val="00B2674A"/>
    <w:rsid w:val="00B61583"/>
    <w:rsid w:val="00B671EE"/>
    <w:rsid w:val="00BE3A2B"/>
    <w:rsid w:val="00C20FC9"/>
    <w:rsid w:val="00C245FE"/>
    <w:rsid w:val="00C34ACA"/>
    <w:rsid w:val="00C56436"/>
    <w:rsid w:val="00C6159C"/>
    <w:rsid w:val="00CA5712"/>
    <w:rsid w:val="00CE66A9"/>
    <w:rsid w:val="00DB0358"/>
    <w:rsid w:val="00E50664"/>
    <w:rsid w:val="00E6654B"/>
    <w:rsid w:val="00E749BE"/>
    <w:rsid w:val="00E93879"/>
    <w:rsid w:val="00EA3CEF"/>
    <w:rsid w:val="00EB3C47"/>
    <w:rsid w:val="00EF590F"/>
    <w:rsid w:val="00F13B10"/>
    <w:rsid w:val="00F46355"/>
    <w:rsid w:val="00F50A2B"/>
    <w:rsid w:val="00F826A0"/>
    <w:rsid w:val="00F84D68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6377-B7CD-4FDA-9050-75D0D77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C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B58"/>
  </w:style>
  <w:style w:type="character" w:styleId="Hyperlink">
    <w:name w:val="Hyperlink"/>
    <w:basedOn w:val="DefaultParagraphFont"/>
    <w:uiPriority w:val="99"/>
    <w:unhideWhenUsed/>
    <w:rsid w:val="008E2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12"/>
  </w:style>
  <w:style w:type="paragraph" w:styleId="Footer">
    <w:name w:val="footer"/>
    <w:basedOn w:val="Normal"/>
    <w:link w:val="FooterChar"/>
    <w:uiPriority w:val="99"/>
    <w:unhideWhenUsed/>
    <w:rsid w:val="00C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ochorishvili@scc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D3B7-853D-4EFD-826E-1EE0161F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neotech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</dc:creator>
  <cp:keywords/>
  <dc:description/>
  <cp:lastModifiedBy>MBochorishvili</cp:lastModifiedBy>
  <cp:revision>14</cp:revision>
  <dcterms:created xsi:type="dcterms:W3CDTF">2018-06-25T12:10:00Z</dcterms:created>
  <dcterms:modified xsi:type="dcterms:W3CDTF">2018-06-26T09:23:00Z</dcterms:modified>
</cp:coreProperties>
</file>